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c144c7w2xx2l" w:id="0"/>
    <w:bookmarkEnd w:id="0"/>
    <w:p w:rsidR="00000000" w:rsidDel="00000000" w:rsidP="00000000" w:rsidRDefault="00000000" w:rsidRPr="00000000" w14:paraId="00000001">
      <w:pPr>
        <w:spacing w:after="120" w:before="120" w:lineRule="auto"/>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TRUSTLOOM PRICING AND SERVICE SCHEDULE</w:t>
      </w:r>
    </w:p>
    <w:p w:rsidR="00000000" w:rsidDel="00000000" w:rsidP="00000000" w:rsidRDefault="00000000" w:rsidRPr="00000000" w14:paraId="00000002">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Version 1.0 · Effective 3 November 2026</w:t>
      </w:r>
      <w:r w:rsidDel="00000000" w:rsidR="00000000" w:rsidRPr="00000000">
        <w:rPr>
          <w:rFonts w:ascii="Calibri" w:cs="Calibri" w:eastAsia="Calibri" w:hAnsi="Calibri"/>
          <w:b w:val="1"/>
          <w:bCs w:val="1"/>
          <w:sz w:val="21"/>
          <w:szCs w:val="21"/>
          <w:rtl w:val="0"/>
        </w:rPr>
        <w:t xml:space="preserve"> </w:t>
      </w:r>
      <w:r w:rsidDel="00000000" w:rsidR="00000000" w:rsidRPr="00000000">
        <w:rPr>
          <w:rtl w:val="0"/>
        </w:rPr>
      </w:r>
    </w:p>
    <w:bookmarkStart w:colFirst="0" w:colLast="0" w:name="bookmark=id.z8a5r7s4j7fh" w:id="1"/>
    <w:bookmarkEnd w:id="1"/>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HOW THIS SCHEDULE WORKS</w:t>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Schedule sets out the Fees, plans, allowances and service targets for the Services. Terms defined in the Terms have the same meaning here.</w:t>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rules governing Subscriptions – how they renew, how you cancel, how and when Fees may change, what consumes your Report Allowance, and fair use – are in Clause 18 of the Terms. This Schedule supplies the numbers those rules refer to.</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your Order states a Fee, allowance or term that differs from this Schedule, the Order prevails (Clause 18.1 of the Terms).</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All Fees are in euro and exclude VAT and any other applicable tax.</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Schedule reflects the plans and prices published on our website. If the website and this Schedule differ, this Schedule prevails.</w:t>
      </w:r>
    </w:p>
    <w:bookmarkStart w:colFirst="0" w:colLast="0" w:name="bookmark=id.c3i4t1x6cimn" w:id="2"/>
    <w:bookmarkEnd w:id="2"/>
    <w:p w:rsidR="00000000" w:rsidDel="00000000" w:rsidP="00000000" w:rsidRDefault="00000000" w:rsidRPr="00000000" w14:paraId="0000000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REPORTS</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Report searches for inform</w:t>
      </w:r>
      <w:r w:rsidDel="00000000" w:rsidR="00000000" w:rsidRPr="00000000">
        <w:rPr>
          <w:rFonts w:ascii="Calibri" w:cs="Calibri" w:eastAsia="Calibri" w:hAnsi="Calibri"/>
          <w:sz w:val="21"/>
          <w:szCs w:val="21"/>
          <w:rtl w:val="0"/>
        </w:rPr>
        <w:t xml:space="preserve">ation in</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 following categories</w:t>
      </w:r>
      <w:r w:rsidDel="00000000" w:rsidR="00000000" w:rsidRPr="00000000">
        <w:rPr>
          <w:rFonts w:ascii="Calibri" w:cs="Calibri" w:eastAsia="Calibri" w:hAnsi="Calibri"/>
          <w:sz w:val="21"/>
          <w:szCs w:val="21"/>
          <w:rtl w:val="0"/>
        </w:rPr>
        <w:t xml:space="preserve">:</w:t>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Business register validation</w:t>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Financial data</w:t>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Tax debt history</w:t>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Labour law violations</w:t>
      </w:r>
    </w:p>
    <w:p w:rsidR="00000000" w:rsidDel="00000000" w:rsidP="00000000" w:rsidRDefault="00000000" w:rsidRPr="00000000" w14:paraId="0000000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Social insurance contribution discipline</w:t>
      </w:r>
    </w:p>
    <w:p w:rsidR="00000000" w:rsidDel="00000000" w:rsidP="00000000" w:rsidRDefault="00000000" w:rsidRPr="00000000" w14:paraId="0000001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Lawsuit records</w:t>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Supplier blacklists</w:t>
      </w:r>
    </w:p>
    <w:p w:rsidR="00000000" w:rsidDel="00000000" w:rsidP="00000000" w:rsidRDefault="00000000" w:rsidRPr="00000000" w14:paraId="0000001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Negative media (Adverse Media Findings concerning the Subject)</w:t>
      </w:r>
    </w:p>
    <w:p w:rsidR="00000000" w:rsidDel="00000000" w:rsidP="00000000" w:rsidRDefault="00000000" w:rsidRPr="00000000" w14:paraId="0000001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sz w:val="21"/>
          <w:szCs w:val="21"/>
          <w:rtl w:val="0"/>
        </w:rPr>
        <w:t xml:space="preserve">Sanctions screening — the Subject and its chief executive</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category is covered only to the extent that data is available to us from Sources for the Subject’s country and type of entity when the Report is generated. Coverage differs between countries. Where no Source is available for a category, the Report will state “No data” for that category, and the Report is still a delivered Report (Clauses 13.2 and 13.3 of the Terms). The table describes what each type of Report searches for; it is not a commitment that every category will contain data for every Subject. We may change the categories in accordance with Clause 5.4 of the Terms.</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Reports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are available only under a Subscription (Section 3 below) </w:t>
      </w:r>
      <w:r w:rsidDel="00000000" w:rsidR="00000000" w:rsidRPr="00000000">
        <w:rPr>
          <w:rFonts w:ascii="Calibri" w:cs="Calibri" w:eastAsia="Calibri" w:hAnsi="Calibri"/>
          <w:sz w:val="21"/>
          <w:szCs w:val="21"/>
          <w:rtl w:val="0"/>
        </w:rPr>
        <w:t xml:space="preserve">or in a prepaid package (Section 4 below)</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They are not sold individually.</w:t>
      </w:r>
    </w:p>
    <w:p w:rsidR="00000000" w:rsidDel="00000000" w:rsidP="00000000" w:rsidRDefault="00000000" w:rsidRPr="00000000" w14:paraId="0000001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SUBSCRIPTION PLANS</w:t>
      </w:r>
    </w:p>
    <w:tbl>
      <w:tblPr>
        <w:tblStyle w:val="Table1"/>
        <w:tblW w:w="8651.0" w:type="dxa"/>
        <w:jc w:val="left"/>
        <w:tblInd w:w="709.0" w:type="dxa"/>
        <w:tblLayout w:type="fixed"/>
        <w:tblLook w:val="0020"/>
      </w:tblPr>
      <w:tblGrid>
        <w:gridCol w:w="1730"/>
        <w:gridCol w:w="1730"/>
        <w:gridCol w:w="1730"/>
        <w:gridCol w:w="1730"/>
        <w:gridCol w:w="1731"/>
        <w:tblGridChange w:id="0">
          <w:tblGrid>
            <w:gridCol w:w="1730"/>
            <w:gridCol w:w="1730"/>
            <w:gridCol w:w="1730"/>
            <w:gridCol w:w="1730"/>
            <w:gridCol w:w="1731"/>
          </w:tblGrid>
        </w:tblGridChange>
      </w:tblGrid>
      <w:tr>
        <w:trPr>
          <w:cantSplit w:val="0"/>
          <w:tblHeader w:val="1"/>
        </w:trPr>
        <w:tc>
          <w:tcPr/>
          <w:p w:rsidR="00000000" w:rsidDel="00000000" w:rsidP="00000000" w:rsidRDefault="00000000" w:rsidRPr="00000000" w14:paraId="00000017">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Plan</w:t>
            </w:r>
          </w:p>
        </w:tc>
        <w:tc>
          <w:tcPr/>
          <w:p w:rsidR="00000000" w:rsidDel="00000000" w:rsidP="00000000" w:rsidRDefault="00000000" w:rsidRPr="00000000" w14:paraId="00000018">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Monthly plan: Reports per month</w:t>
            </w:r>
          </w:p>
        </w:tc>
        <w:tc>
          <w:tcPr/>
          <w:p w:rsidR="00000000" w:rsidDel="00000000" w:rsidP="00000000" w:rsidRDefault="00000000" w:rsidRPr="00000000" w14:paraId="00000019">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Monthly plan: Fee</w:t>
            </w:r>
          </w:p>
        </w:tc>
        <w:tc>
          <w:tcPr/>
          <w:p w:rsidR="00000000" w:rsidDel="00000000" w:rsidP="00000000" w:rsidRDefault="00000000" w:rsidRPr="00000000" w14:paraId="0000001A">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Annual plan: Reports per year</w:t>
            </w:r>
          </w:p>
        </w:tc>
        <w:tc>
          <w:tcPr/>
          <w:p w:rsidR="00000000" w:rsidDel="00000000" w:rsidP="00000000" w:rsidRDefault="00000000" w:rsidRPr="00000000" w14:paraId="0000001B">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Annual plan: Fee</w:t>
            </w:r>
          </w:p>
        </w:tc>
      </w:tr>
      <w:tr>
        <w:trPr>
          <w:cantSplit w:val="0"/>
          <w:tblHeader w:val="0"/>
        </w:trPr>
        <w:tc>
          <w:tcPr/>
          <w:p w:rsidR="00000000" w:rsidDel="00000000" w:rsidP="00000000" w:rsidRDefault="00000000" w:rsidRPr="00000000" w14:paraId="0000001C">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Tier 1</w:t>
            </w:r>
            <w:r w:rsidDel="00000000" w:rsidR="00000000" w:rsidRPr="00000000">
              <w:rPr>
                <w:rtl w:val="0"/>
              </w:rPr>
            </w:r>
          </w:p>
        </w:tc>
        <w:tc>
          <w:tcPr/>
          <w:p w:rsidR="00000000" w:rsidDel="00000000" w:rsidP="00000000" w:rsidRDefault="00000000" w:rsidRPr="00000000" w14:paraId="0000001D">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25</w:t>
            </w:r>
          </w:p>
        </w:tc>
        <w:tc>
          <w:tcPr/>
          <w:p w:rsidR="00000000" w:rsidDel="00000000" w:rsidP="00000000" w:rsidRDefault="00000000" w:rsidRPr="00000000" w14:paraId="0000001E">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275 per month</w:t>
            </w:r>
          </w:p>
        </w:tc>
        <w:tc>
          <w:tcPr/>
          <w:p w:rsidR="00000000" w:rsidDel="00000000" w:rsidP="00000000" w:rsidRDefault="00000000" w:rsidRPr="00000000" w14:paraId="0000001F">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300</w:t>
            </w:r>
          </w:p>
        </w:tc>
        <w:tc>
          <w:tcPr/>
          <w:p w:rsidR="00000000" w:rsidDel="00000000" w:rsidP="00000000" w:rsidRDefault="00000000" w:rsidRPr="00000000" w14:paraId="00000020">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2,750 per year</w:t>
            </w:r>
          </w:p>
        </w:tc>
      </w:tr>
      <w:tr>
        <w:trPr>
          <w:cantSplit w:val="0"/>
          <w:tblHeader w:val="0"/>
        </w:trPr>
        <w:tc>
          <w:tcPr/>
          <w:p w:rsidR="00000000" w:rsidDel="00000000" w:rsidP="00000000" w:rsidRDefault="00000000" w:rsidRPr="00000000" w14:paraId="00000021">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Tier 2</w:t>
            </w:r>
            <w:r w:rsidDel="00000000" w:rsidR="00000000" w:rsidRPr="00000000">
              <w:rPr>
                <w:rtl w:val="0"/>
              </w:rPr>
            </w:r>
          </w:p>
        </w:tc>
        <w:tc>
          <w:tcPr/>
          <w:p w:rsidR="00000000" w:rsidDel="00000000" w:rsidP="00000000" w:rsidRDefault="00000000" w:rsidRPr="00000000" w14:paraId="00000022">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50</w:t>
            </w:r>
          </w:p>
        </w:tc>
        <w:tc>
          <w:tcPr/>
          <w:p w:rsidR="00000000" w:rsidDel="00000000" w:rsidP="00000000" w:rsidRDefault="00000000" w:rsidRPr="00000000" w14:paraId="00000023">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475 per month</w:t>
            </w:r>
          </w:p>
        </w:tc>
        <w:tc>
          <w:tcPr/>
          <w:p w:rsidR="00000000" w:rsidDel="00000000" w:rsidP="00000000" w:rsidRDefault="00000000" w:rsidRPr="00000000" w14:paraId="00000024">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600</w:t>
            </w:r>
          </w:p>
        </w:tc>
        <w:tc>
          <w:tcPr/>
          <w:p w:rsidR="00000000" w:rsidDel="00000000" w:rsidP="00000000" w:rsidRDefault="00000000" w:rsidRPr="00000000" w14:paraId="00000025">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4,750 per year</w:t>
            </w:r>
          </w:p>
        </w:tc>
      </w:tr>
      <w:tr>
        <w:trPr>
          <w:cantSplit w:val="0"/>
          <w:tblHeader w:val="0"/>
        </w:trPr>
        <w:tc>
          <w:tcPr/>
          <w:p w:rsidR="00000000" w:rsidDel="00000000" w:rsidP="00000000" w:rsidRDefault="00000000" w:rsidRPr="00000000" w14:paraId="00000026">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Tier 3</w:t>
            </w:r>
            <w:r w:rsidDel="00000000" w:rsidR="00000000" w:rsidRPr="00000000">
              <w:rPr>
                <w:rtl w:val="0"/>
              </w:rPr>
            </w:r>
          </w:p>
        </w:tc>
        <w:tc>
          <w:tcPr/>
          <w:p w:rsidR="00000000" w:rsidDel="00000000" w:rsidP="00000000" w:rsidRDefault="00000000" w:rsidRPr="00000000" w14:paraId="00000027">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100</w:t>
            </w:r>
          </w:p>
        </w:tc>
        <w:tc>
          <w:tcPr/>
          <w:p w:rsidR="00000000" w:rsidDel="00000000" w:rsidP="00000000" w:rsidRDefault="00000000" w:rsidRPr="00000000" w14:paraId="00000028">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775 per month</w:t>
            </w:r>
          </w:p>
        </w:tc>
        <w:tc>
          <w:tcPr/>
          <w:p w:rsidR="00000000" w:rsidDel="00000000" w:rsidP="00000000" w:rsidRDefault="00000000" w:rsidRPr="00000000" w14:paraId="00000029">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1,200</w:t>
            </w:r>
          </w:p>
        </w:tc>
        <w:tc>
          <w:tcPr/>
          <w:p w:rsidR="00000000" w:rsidDel="00000000" w:rsidP="00000000" w:rsidRDefault="00000000" w:rsidRPr="00000000" w14:paraId="0000002A">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7,750 per year</w:t>
            </w:r>
          </w:p>
        </w:tc>
      </w:tr>
    </w:tb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09" w:right="0" w:firstLine="0"/>
        <w:jc w:val="both"/>
        <w:rPr>
          <w:rFonts w:ascii="Calibri" w:cs="Calibri" w:eastAsia="Calibri" w:hAnsi="Calibri"/>
          <w:b w:val="0"/>
          <w:bCs w:val="0"/>
          <w:i w:val="0"/>
          <w:iCs w:val="0"/>
          <w:smallCaps w:val="0"/>
          <w:strike w:val="0"/>
          <w:color w:val="000000"/>
          <w:sz w:val="21"/>
          <w:szCs w:val="21"/>
          <w:u w:val="none"/>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Monthly plans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are billed in advance each month. The Report Allowance is the monthly figure and is renewed at the start of each monthly billing period. Unused Reports do not carry over (Clause 18.4 of the Terms).</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Annual plans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are billed in advance for twelve months, at a Fee equal to ten times the monthly Fee for the same tier. The Report Allowance is the annual figure, which may be used at any time during the twelve-month billing period. Unused Reports do not carry over to the next annual period. If you cancel an annual plan, cancellation takes effect at the end of the annual period and the annual Fee is not refunded (Clause 18.6 of the Terms).</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When the Report Allowance is used up.</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sz w:val="21"/>
          <w:szCs w:val="21"/>
          <w:rtl w:val="0"/>
        </w:rPr>
        <w:t xml:space="preserve">There is no automatic overage charge. Once the Report Allowance for a billing period has been used, you may buy further Reports one at a time. The price for such reports is shown in your account on the platform before you order it. </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Changing plans.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You may upgrade to a higher tier, or from a monthly to an annual plan, at any time. An upgrade takes effect immediately:</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 new billing period on the new plan starts on the date of the upgrade, and the full Fee for the new plan is charged on that date.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Any Reports remaining unused in your Report Allowance at that time are added to the Report Allowance for the first billing period of the new plan. They are then subject to the same rules as the rest of that allowance (Clause 18.4 of the Terms).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705"/>
        <w:jc w:val="both"/>
        <w:rPr>
          <w:smallCaps w:val="0"/>
          <w:color w:val="000000"/>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No part of the Fee already paid for the previous plan is refunded.</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Users.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Plans are not limited by number of Users. You may give access to any number of Users within your organisation. Each User account is personal and may not be shared (Clause 18.9 of the Terms), and the Report Allowance is shared across all Users on your account.</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Renewal reminders are sent at le</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ast </w:t>
      </w:r>
      <w:r w:rsidDel="00000000" w:rsidR="00000000" w:rsidRPr="00000000">
        <w:rPr>
          <w:rFonts w:ascii="Calibri" w:cs="Calibri" w:eastAsia="Calibri" w:hAnsi="Calibri"/>
          <w:sz w:val="21"/>
          <w:szCs w:val="21"/>
          <w:rtl w:val="0"/>
        </w:rPr>
        <w:t xml:space="preserve">15</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days before the end of each monthly billing period, and at least </w:t>
      </w:r>
      <w:r w:rsidDel="00000000" w:rsidR="00000000" w:rsidRPr="00000000">
        <w:rPr>
          <w:rFonts w:ascii="Calibri" w:cs="Calibri" w:eastAsia="Calibri" w:hAnsi="Calibri"/>
          <w:sz w:val="21"/>
          <w:szCs w:val="21"/>
          <w:rtl w:val="0"/>
        </w:rPr>
        <w:t xml:space="preserve">15</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days before the end of each ann</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ual billing period (Clause 18.5 of the Terms).</w:t>
      </w:r>
    </w:p>
    <w:p w:rsidR="00000000" w:rsidDel="00000000" w:rsidP="00000000" w:rsidRDefault="00000000" w:rsidRPr="00000000" w14:paraId="0000003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sz w:val="21"/>
          <w:szCs w:val="21"/>
          <w:rtl w:val="0"/>
        </w:rPr>
        <w:t xml:space="preserve">PREPAID PACKAGES</w:t>
      </w:r>
    </w:p>
    <w:p w:rsidR="00000000" w:rsidDel="00000000" w:rsidP="00000000" w:rsidRDefault="00000000" w:rsidRPr="00000000" w14:paraId="00000036">
      <w:pPr>
        <w:keepNext w:val="1"/>
        <w:numPr>
          <w:ilvl w:val="1"/>
          <w:numId w:val="1"/>
        </w:numPr>
        <w:spacing w:after="120" w:before="120" w:lineRule="auto"/>
        <w:ind w:left="709"/>
        <w:jc w:val="both"/>
      </w:pPr>
      <w:r w:rsidDel="00000000" w:rsidR="00000000" w:rsidRPr="00000000">
        <w:rPr>
          <w:rFonts w:ascii="Calibri" w:cs="Calibri" w:eastAsia="Calibri" w:hAnsi="Calibri"/>
          <w:sz w:val="21"/>
          <w:szCs w:val="21"/>
          <w:rtl w:val="0"/>
        </w:rPr>
        <w:t xml:space="preserve">Reports are also available in prepaid packages:</w:t>
      </w:r>
    </w:p>
    <w:tbl>
      <w:tblPr>
        <w:tblStyle w:val="Table2"/>
        <w:tblW w:w="3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1365"/>
        <w:tblGridChange w:id="0">
          <w:tblGrid>
            <w:gridCol w:w="2100"/>
            <w:gridCol w:w="1365"/>
          </w:tblGrid>
        </w:tblGridChange>
      </w:tblGrid>
      <w:tr>
        <w:trPr>
          <w:cantSplit w:val="0"/>
          <w:trHeight w:val="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keepNext w:val="1"/>
              <w:spacing w:after="60" w:before="60" w:lineRule="auto"/>
              <w:ind w:left="700" w:firstLine="0"/>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Package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keepNext w:val="1"/>
              <w:keepLines w:val="0"/>
              <w:widowControl w:val="1"/>
              <w:pBdr>
                <w:top w:space="0" w:sz="0" w:val="nil"/>
                <w:left w:space="0" w:sz="0" w:val="nil"/>
                <w:bottom w:space="0" w:sz="0" w:val="nil"/>
                <w:right w:space="0" w:sz="0" w:val="nil"/>
                <w:between w:space="0" w:sz="0" w:val="nil"/>
              </w:pBdr>
              <w:shd w:fill="auto" w:val="clear"/>
              <w:spacing w:after="60" w:before="60" w:line="240" w:lineRule="auto"/>
              <w:ind w:left="700" w:right="0" w:hanging="340"/>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Fee</w:t>
            </w:r>
          </w:p>
        </w:tc>
      </w:tr>
      <w:tr>
        <w:trPr>
          <w:cantSplit w:val="0"/>
          <w:trHeight w:val="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9">
            <w:pPr>
              <w:keepNext w:val="1"/>
              <w:spacing w:after="60" w:before="60" w:lineRule="auto"/>
              <w:ind w:left="70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5 Reports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keepNext w:val="1"/>
              <w:keepLines w:val="0"/>
              <w:widowControl w:val="1"/>
              <w:pBdr>
                <w:top w:space="0" w:sz="0" w:val="nil"/>
                <w:left w:space="0" w:sz="0" w:val="nil"/>
                <w:bottom w:space="0" w:sz="0" w:val="nil"/>
                <w:right w:space="0" w:sz="0" w:val="nil"/>
                <w:between w:space="0" w:sz="0" w:val="nil"/>
              </w:pBdr>
              <w:shd w:fill="auto" w:val="clear"/>
              <w:spacing w:after="60" w:before="60" w:line="240" w:lineRule="auto"/>
              <w:ind w:left="700" w:right="0" w:hanging="34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75</w:t>
            </w:r>
          </w:p>
        </w:tc>
      </w:tr>
      <w:tr>
        <w:trPr>
          <w:cantSplit w:val="0"/>
          <w:trHeight w:val="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keepNext w:val="1"/>
              <w:spacing w:after="60" w:before="60" w:lineRule="auto"/>
              <w:ind w:left="70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10 Reports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keepNext w:val="1"/>
              <w:keepLines w:val="0"/>
              <w:widowControl w:val="1"/>
              <w:pBdr>
                <w:top w:space="0" w:sz="0" w:val="nil"/>
                <w:left w:space="0" w:sz="0" w:val="nil"/>
                <w:bottom w:space="0" w:sz="0" w:val="nil"/>
                <w:right w:space="0" w:sz="0" w:val="nil"/>
                <w:between w:space="0" w:sz="0" w:val="nil"/>
              </w:pBdr>
              <w:shd w:fill="auto" w:val="clear"/>
              <w:spacing w:after="60" w:before="60" w:line="240" w:lineRule="auto"/>
              <w:ind w:left="700" w:right="0" w:hanging="34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125</w:t>
            </w:r>
          </w:p>
        </w:tc>
      </w:tr>
      <w:tr>
        <w:trPr>
          <w:cantSplit w:val="0"/>
          <w:trHeight w:val="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keepNext w:val="1"/>
              <w:spacing w:after="60" w:before="60" w:lineRule="auto"/>
              <w:ind w:left="70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25 Reports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E">
            <w:pPr>
              <w:keepNext w:val="1"/>
              <w:spacing w:after="60" w:before="60" w:lineRule="auto"/>
              <w:ind w:left="700" w:hanging="34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 300</w:t>
            </w:r>
          </w:p>
        </w:tc>
      </w:tr>
    </w:tbl>
    <w:p w:rsidR="00000000" w:rsidDel="00000000" w:rsidP="00000000" w:rsidRDefault="00000000" w:rsidRPr="00000000" w14:paraId="0000003F">
      <w:pPr>
        <w:keepNext w:val="1"/>
        <w:numPr>
          <w:ilvl w:val="1"/>
          <w:numId w:val="1"/>
        </w:numPr>
        <w:spacing w:after="120" w:before="120" w:lineRule="auto"/>
        <w:ind w:left="709"/>
        <w:jc w:val="both"/>
      </w:pPr>
      <w:r w:rsidDel="00000000" w:rsidR="00000000" w:rsidRPr="00000000">
        <w:rPr>
          <w:rFonts w:ascii="Calibri" w:cs="Calibri" w:eastAsia="Calibri" w:hAnsi="Calibri"/>
          <w:sz w:val="21"/>
          <w:szCs w:val="21"/>
          <w:rtl w:val="0"/>
        </w:rPr>
        <w:t xml:space="preserve">The Reports in a package are valid for six months from the date of purchase and are used in the same way as Report Allowance. Reports not used within that period expire and are not refunded.</w:t>
      </w:r>
      <w:r w:rsidDel="00000000" w:rsidR="00000000" w:rsidRPr="00000000">
        <w:rPr>
          <w:rtl w:val="0"/>
        </w:rPr>
      </w:r>
    </w:p>
    <w:bookmarkStart w:colFirst="0" w:colLast="0" w:name="bookmark=id.jhygxnaf8z3u" w:id="3"/>
    <w:bookmarkEnd w:id="3"/>
    <w:p w:rsidR="00000000" w:rsidDel="00000000" w:rsidP="00000000" w:rsidRDefault="00000000" w:rsidRPr="00000000" w14:paraId="0000004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FAIR-USE THRESHOLDS</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following thresholds apply under Clause 18.10 of the Terms:</w:t>
      </w:r>
    </w:p>
    <w:tbl>
      <w:tblPr>
        <w:tblStyle w:val="Table3"/>
        <w:tblW w:w="8651.0" w:type="dxa"/>
        <w:jc w:val="left"/>
        <w:tblInd w:w="709.0" w:type="dxa"/>
        <w:tblLayout w:type="fixed"/>
        <w:tblLook w:val="0020"/>
      </w:tblPr>
      <w:tblGrid>
        <w:gridCol w:w="4326"/>
        <w:gridCol w:w="4325"/>
        <w:tblGridChange w:id="0">
          <w:tblGrid>
            <w:gridCol w:w="4326"/>
            <w:gridCol w:w="4325"/>
          </w:tblGrid>
        </w:tblGridChange>
      </w:tblGrid>
      <w:tr>
        <w:trPr>
          <w:cantSplit w:val="0"/>
          <w:tblHeader w:val="1"/>
        </w:trPr>
        <w:tc>
          <w:tcPr/>
          <w:p w:rsidR="00000000" w:rsidDel="00000000" w:rsidP="00000000" w:rsidRDefault="00000000" w:rsidRPr="00000000" w14:paraId="00000042">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Measure</w:t>
            </w:r>
          </w:p>
        </w:tc>
        <w:tc>
          <w:tcPr/>
          <w:p w:rsidR="00000000" w:rsidDel="00000000" w:rsidP="00000000" w:rsidRDefault="00000000" w:rsidRPr="00000000" w14:paraId="00000043">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Threshold</w:t>
            </w:r>
          </w:p>
        </w:tc>
      </w:tr>
      <w:tr>
        <w:trPr>
          <w:cantSplit w:val="0"/>
          <w:tblHeader w:val="0"/>
        </w:trPr>
        <w:tc>
          <w:tcPr/>
          <w:p w:rsidR="00000000" w:rsidDel="00000000" w:rsidP="00000000" w:rsidRDefault="00000000" w:rsidRPr="00000000" w14:paraId="00000044">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Requests per User per minute</w:t>
            </w:r>
          </w:p>
        </w:tc>
        <w:tc>
          <w:tcPr/>
          <w:p w:rsidR="00000000" w:rsidDel="00000000" w:rsidP="00000000" w:rsidRDefault="00000000" w:rsidRPr="00000000" w14:paraId="00000045">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10</w:t>
            </w:r>
            <w:r w:rsidDel="00000000" w:rsidR="00000000" w:rsidRPr="00000000">
              <w:rPr>
                <w:rtl w:val="0"/>
              </w:rPr>
            </w:r>
          </w:p>
        </w:tc>
      </w:tr>
      <w:tr>
        <w:trPr>
          <w:cantSplit w:val="0"/>
          <w:tblHeader w:val="0"/>
        </w:trPr>
        <w:tc>
          <w:tcPr/>
          <w:p w:rsidR="00000000" w:rsidDel="00000000" w:rsidP="00000000" w:rsidRDefault="00000000" w:rsidRPr="00000000" w14:paraId="00000046">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Concurrent sessions per User</w:t>
            </w:r>
          </w:p>
        </w:tc>
        <w:tc>
          <w:tcPr/>
          <w:p w:rsidR="00000000" w:rsidDel="00000000" w:rsidP="00000000" w:rsidRDefault="00000000" w:rsidRPr="00000000" w14:paraId="00000047">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5</w:t>
            </w:r>
          </w:p>
        </w:tc>
      </w:tr>
      <w:tr>
        <w:trPr>
          <w:cantSplit w:val="0"/>
          <w:tblHeader w:val="0"/>
        </w:trPr>
        <w:tc>
          <w:tcPr/>
          <w:p w:rsidR="00000000" w:rsidDel="00000000" w:rsidP="00000000" w:rsidRDefault="00000000" w:rsidRPr="00000000" w14:paraId="00000048">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Automated access</w:t>
            </w:r>
          </w:p>
        </w:tc>
        <w:tc>
          <w:tcPr/>
          <w:p w:rsidR="00000000" w:rsidDel="00000000" w:rsidP="00000000" w:rsidRDefault="00000000" w:rsidRPr="00000000" w14:paraId="00000049">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Only through the API where included in the plan, within the documented rate limits</w:t>
            </w:r>
          </w:p>
        </w:tc>
      </w:tr>
    </w:tbl>
    <w:bookmarkStart w:colFirst="0" w:colLast="0" w:name="bookmark=id.2ky11axv3rzi" w:id="4"/>
    <w:bookmarkEnd w:id="4"/>
    <w:p w:rsidR="00000000" w:rsidDel="00000000" w:rsidP="00000000" w:rsidRDefault="00000000" w:rsidRPr="00000000" w14:paraId="0000004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AVAILABILITY</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Target availability: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9</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5</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of each calendar month. The target measures the availability of the Trustloom platform — the website and account through which you order and receive Reports. It does not measure the availability of Sources, which is addressed below.</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target excludes: scheduled maintenance notified at least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24</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 hours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in advance; emergency maintenance; the unavailability of any Source; and any event within Clause 27 of the Terms.</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Sources are outside our control.</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Reports are compiled from public registers, authority publications and other Sources operated by third parties. Any Source may at any time be unavailable, suspended or discontinued, may be slow to publish updates, may change its format, or may restrict or withdraw our access. While that is the case: (a) we may be unable to generate a Report, or one or more categories of a Report, for some or all Subjects; (b) a Report may be generated with one or more categories showing “No data”, or with data for a category that is incomplete or not up to date; and (c) generation of a Report may be delayed.</w:t>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None of the circumstances in the previous paragraph is a failure to meet the availability target, a breach of the Terms, or a failure to deliver a Report (Clauses 5.4, 13.3 and 27.2 of the Terms).</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Effect on your Report Allowance and Fees.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If a Report cannot be generated at all because a Source is unavailable, no Report Allowance is consumed. A Report generated with one or more categories showing “No data”, or with incomplete data, is a delivered Report and consumes one unit of Report Allowance or is charged in full, except that the re-run or credit in Clause 13.4 of the Terms applies where every category returns no data.</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Scheduled maintenance will norm</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ally take place outside 08:00 to 18:00 Eastern European Time on Business Days.</w:t>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Availability figures are targets, not warranties, and do not give rise to service credits (Clause 5.6 of the Terms).</w:t>
      </w:r>
    </w:p>
    <w:bookmarkStart w:colFirst="0" w:colLast="0" w:name="bookmark=id.60fu4el30heh" w:id="5"/>
    <w:bookmarkEnd w:id="5"/>
    <w:p w:rsidR="00000000" w:rsidDel="00000000" w:rsidP="00000000" w:rsidRDefault="00000000" w:rsidRPr="00000000" w14:paraId="0000005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SUPPORT</w:t>
      </w:r>
    </w:p>
    <w:tbl>
      <w:tblPr>
        <w:tblStyle w:val="Table4"/>
        <w:tblW w:w="8651.0" w:type="dxa"/>
        <w:jc w:val="left"/>
        <w:tblInd w:w="709.0" w:type="dxa"/>
        <w:tblLayout w:type="fixed"/>
        <w:tblLook w:val="0000"/>
      </w:tblPr>
      <w:tblGrid>
        <w:gridCol w:w="4326"/>
        <w:gridCol w:w="4325"/>
        <w:tblGridChange w:id="0">
          <w:tblGrid>
            <w:gridCol w:w="4326"/>
            <w:gridCol w:w="4325"/>
          </w:tblGrid>
        </w:tblGridChange>
      </w:tblGrid>
      <w:tr>
        <w:trPr>
          <w:cantSplit w:val="0"/>
          <w:tblHeader w:val="0"/>
        </w:trPr>
        <w:tc>
          <w:tcPr/>
          <w:p w:rsidR="00000000" w:rsidDel="00000000" w:rsidP="00000000" w:rsidRDefault="00000000" w:rsidRPr="00000000" w14:paraId="00000053">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Channel</w:t>
            </w:r>
            <w:r w:rsidDel="00000000" w:rsidR="00000000" w:rsidRPr="00000000">
              <w:rPr>
                <w:rtl w:val="0"/>
              </w:rPr>
            </w:r>
          </w:p>
        </w:tc>
        <w:tc>
          <w:tcPr/>
          <w:p w:rsidR="00000000" w:rsidDel="00000000" w:rsidP="00000000" w:rsidRDefault="00000000" w:rsidRPr="00000000" w14:paraId="00000054">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Email to </w:t>
            </w:r>
            <w:r w:rsidDel="00000000" w:rsidR="00000000" w:rsidRPr="00000000">
              <w:rPr>
                <w:rFonts w:ascii="Calibri" w:cs="Calibri" w:eastAsia="Calibri" w:hAnsi="Calibri"/>
                <w:sz w:val="21"/>
                <w:szCs w:val="21"/>
                <w:rtl w:val="0"/>
              </w:rPr>
              <w:t xml:space="preserve">support@trustloom.io</w:t>
            </w:r>
          </w:p>
        </w:tc>
      </w:tr>
      <w:tr>
        <w:trPr>
          <w:cantSplit w:val="0"/>
          <w:tblHeader w:val="0"/>
        </w:trPr>
        <w:tc>
          <w:tcPr/>
          <w:p w:rsidR="00000000" w:rsidDel="00000000" w:rsidP="00000000" w:rsidRDefault="00000000" w:rsidRPr="00000000" w14:paraId="00000055">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Hours</w:t>
            </w:r>
            <w:r w:rsidDel="00000000" w:rsidR="00000000" w:rsidRPr="00000000">
              <w:rPr>
                <w:rtl w:val="0"/>
              </w:rPr>
            </w:r>
          </w:p>
        </w:tc>
        <w:tc>
          <w:tcPr/>
          <w:p w:rsidR="00000000" w:rsidDel="00000000" w:rsidP="00000000" w:rsidRDefault="00000000" w:rsidRPr="00000000" w14:paraId="00000056">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Business Days, 09:00 to 17:00 Eastern European Time</w:t>
            </w:r>
          </w:p>
        </w:tc>
      </w:tr>
      <w:tr>
        <w:trPr>
          <w:cantSplit w:val="0"/>
          <w:tblHeader w:val="0"/>
        </w:trPr>
        <w:tc>
          <w:tcPr/>
          <w:p w:rsidR="00000000" w:rsidDel="00000000" w:rsidP="00000000" w:rsidRDefault="00000000" w:rsidRPr="00000000" w14:paraId="00000057">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Substantive response target</w:t>
            </w:r>
            <w:r w:rsidDel="00000000" w:rsidR="00000000" w:rsidRPr="00000000">
              <w:rPr>
                <w:rtl w:val="0"/>
              </w:rPr>
            </w:r>
          </w:p>
        </w:tc>
        <w:tc>
          <w:tcPr/>
          <w:p w:rsidR="00000000" w:rsidDel="00000000" w:rsidP="00000000" w:rsidRDefault="00000000" w:rsidRPr="00000000" w14:paraId="00000058">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Within 5 Business Days</w:t>
            </w:r>
          </w:p>
        </w:tc>
      </w:tr>
      <w:tr>
        <w:trPr>
          <w:cantSplit w:val="0"/>
          <w:tblHeader w:val="0"/>
        </w:trPr>
        <w:tc>
          <w:tcPr/>
          <w:p w:rsidR="00000000" w:rsidDel="00000000" w:rsidP="00000000" w:rsidRDefault="00000000" w:rsidRPr="00000000" w14:paraId="00000059">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Report error review</w:t>
            </w:r>
            <w:r w:rsidDel="00000000" w:rsidR="00000000" w:rsidRPr="00000000">
              <w:rPr>
                <w:rtl w:val="0"/>
              </w:rPr>
            </w:r>
          </w:p>
        </w:tc>
        <w:tc>
          <w:tcPr/>
          <w:p w:rsidR="00000000" w:rsidDel="00000000" w:rsidP="00000000" w:rsidRDefault="00000000" w:rsidRPr="00000000" w14:paraId="0000005A">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Outcome within</w:t>
            </w:r>
            <w:r w:rsidDel="00000000" w:rsidR="00000000" w:rsidRPr="00000000">
              <w:rPr>
                <w:rFonts w:ascii="Calibri" w:cs="Calibri" w:eastAsia="Calibri" w:hAnsi="Calibri"/>
                <w:b w:val="1"/>
                <w:bCs w:val="1"/>
                <w:sz w:val="21"/>
                <w:szCs w:val="21"/>
                <w:rtl w:val="0"/>
              </w:rPr>
              <w:t xml:space="preserve"> </w:t>
            </w:r>
            <w:r w:rsidDel="00000000" w:rsidR="00000000" w:rsidRPr="00000000">
              <w:rPr>
                <w:rFonts w:ascii="Calibri" w:cs="Calibri" w:eastAsia="Calibri" w:hAnsi="Calibri"/>
                <w:sz w:val="21"/>
                <w:szCs w:val="21"/>
                <w:rtl w:val="0"/>
              </w:rPr>
              <w:t xml:space="preserve">10</w:t>
            </w:r>
            <w:r w:rsidDel="00000000" w:rsidR="00000000" w:rsidRPr="00000000">
              <w:rPr>
                <w:rFonts w:ascii="Calibri" w:cs="Calibri" w:eastAsia="Calibri" w:hAnsi="Calibri"/>
                <w:b w:val="1"/>
                <w:bCs w:val="1"/>
                <w:sz w:val="21"/>
                <w:szCs w:val="21"/>
                <w:rtl w:val="0"/>
              </w:rPr>
              <w:t xml:space="preserve"> </w:t>
            </w:r>
            <w:r w:rsidDel="00000000" w:rsidR="00000000" w:rsidRPr="00000000">
              <w:rPr>
                <w:rFonts w:ascii="Calibri" w:cs="Calibri" w:eastAsia="Calibri" w:hAnsi="Calibri"/>
                <w:sz w:val="21"/>
                <w:szCs w:val="21"/>
                <w:rtl w:val="0"/>
              </w:rPr>
              <w:t xml:space="preserve">Business Days (Clause 16.4 of the Terms)</w:t>
            </w:r>
          </w:p>
        </w:tc>
      </w:tr>
    </w:tbl>
    <w:bookmarkStart w:colFirst="0" w:colLast="0" w:name="bookmark=id.ntffev20xtuk" w:id="6"/>
    <w:bookmarkEnd w:id="6"/>
    <w:p w:rsidR="00000000" w:rsidDel="00000000" w:rsidP="00000000" w:rsidRDefault="00000000" w:rsidRPr="00000000" w14:paraId="0000005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CHANGES TO THIS SCHEDULE</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publish a new version of this Schedule at any time. A change to Fees, plans, allowances or other commercial variables applies only to Orders placed, and to Subscription renewals falling, after the new version takes effect, and is subject to the notice and cancellation right in Clause 18.7 of the Terms (Clause 26.4 of the Terms).</w:t>
      </w:r>
    </w:p>
    <w:p w:rsidR="00000000" w:rsidDel="00000000" w:rsidP="00000000" w:rsidRDefault="00000000" w:rsidRPr="00000000" w14:paraId="0000005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change to the availability or support targets that reduces them is a change to the Terms and is made in accordance with Clause 26 of the Terms.</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Every superseded version remains available at</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w:t>
      </w:r>
      <w:hyperlink r:id="rId7">
        <w:r w:rsidDel="00000000" w:rsidR="00000000" w:rsidRPr="00000000">
          <w:rPr>
            <w:rFonts w:ascii="Calibri" w:cs="Calibri" w:eastAsia="Calibri" w:hAnsi="Calibri"/>
            <w:i w:val="0"/>
            <w:iCs w:val="0"/>
            <w:smallCaps w:val="0"/>
            <w:strike w:val="0"/>
            <w:color w:val="1155cc"/>
            <w:sz w:val="21"/>
            <w:szCs w:val="21"/>
            <w:u w:val="single"/>
            <w:vertAlign w:val="baseline"/>
            <w:rtl w:val="0"/>
          </w:rPr>
          <w:t xml:space="preserve">trustloom.io</w:t>
        </w:r>
      </w:hyperlink>
      <w:r w:rsidDel="00000000" w:rsidR="00000000" w:rsidRPr="00000000">
        <w:rPr>
          <w:rFonts w:ascii="Calibri" w:cs="Calibri" w:eastAsia="Calibri" w:hAnsi="Calibri"/>
          <w:sz w:val="21"/>
          <w:szCs w:val="21"/>
          <w:rtl w:val="0"/>
        </w:rPr>
        <w:t xml:space="preserve"> website</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NUMPAGES</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09" w:hanging="709"/>
      </w:pPr>
      <w:rPr>
        <w:rFonts w:ascii="Calibri" w:cs="Calibri" w:eastAsia="Calibri" w:hAnsi="Calibri"/>
        <w:b w:val="1"/>
        <w:bCs w:val="1"/>
        <w:i w:val="0"/>
        <w:iCs w:val="0"/>
        <w:strike w:val="0"/>
        <w:color w:val="000000"/>
        <w:sz w:val="21"/>
        <w:szCs w:val="21"/>
        <w:u w:val="none"/>
        <w:vertAlign w:val="baseline"/>
      </w:rPr>
    </w:lvl>
    <w:lvl w:ilvl="1">
      <w:start w:val="1"/>
      <w:numFmt w:val="decimal"/>
      <w:lvlText w:val="%1.%2."/>
      <w:lvlJc w:val="left"/>
      <w:pPr>
        <w:ind w:left="709" w:hanging="709"/>
      </w:pPr>
      <w:rPr>
        <w:rFonts w:ascii="Calibri" w:cs="Calibri" w:eastAsia="Calibri" w:hAnsi="Calibri"/>
        <w:b w:val="0"/>
        <w:bCs w:val="0"/>
        <w:i w:val="0"/>
        <w:iCs w:val="0"/>
        <w:strike w:val="0"/>
        <w:sz w:val="21"/>
        <w:szCs w:val="21"/>
        <w:vertAlign w:val="baseline"/>
      </w:rPr>
    </w:lvl>
    <w:lvl w:ilvl="2">
      <w:start w:val="1"/>
      <w:numFmt w:val="decimal"/>
      <w:lvlText w:val="%1.%2.%3."/>
      <w:lvlJc w:val="left"/>
      <w:pPr>
        <w:ind w:left="709" w:hanging="709"/>
      </w:pPr>
      <w:rPr>
        <w:rFonts w:ascii="Calibri" w:cs="Calibri" w:eastAsia="Calibri" w:hAnsi="Calibri"/>
        <w:b w:val="0"/>
        <w:bCs w:val="0"/>
        <w:i w:val="0"/>
        <w:iCs w:val="0"/>
        <w:strike w:val="0"/>
        <w:sz w:val="21"/>
        <w:szCs w:val="21"/>
        <w:vertAlign w:val="baseline"/>
      </w:rPr>
    </w:lvl>
    <w:lvl w:ilvl="3">
      <w:start w:val="1"/>
      <w:numFmt w:val="decimal"/>
      <w:lvlText w:val="%1.%2.%3.%4."/>
      <w:lvlJc w:val="left"/>
      <w:pPr>
        <w:ind w:left="1418" w:hanging="709"/>
      </w:pPr>
      <w:rPr>
        <w:rFonts w:ascii="Calibri" w:cs="Calibri" w:eastAsia="Calibri" w:hAnsi="Calibri"/>
        <w:b w:val="0"/>
        <w:bCs w:val="0"/>
        <w:i w:val="0"/>
        <w:iCs w:val="0"/>
        <w:strike w:val="0"/>
        <w:sz w:val="21"/>
        <w:szCs w:val="21"/>
        <w:vertAlign w:val="baseline"/>
      </w:rPr>
    </w:lvl>
    <w:lvl w:ilvl="4">
      <w:start w:val="1"/>
      <w:numFmt w:val="decimal"/>
      <w:lvlText w:val="%1.%2.%3.%4.%5."/>
      <w:lvlJc w:val="left"/>
      <w:pPr>
        <w:ind w:left="709" w:hanging="709"/>
      </w:pPr>
      <w:rPr/>
    </w:lvl>
    <w:lvl w:ilvl="5">
      <w:start w:val="1"/>
      <w:numFmt w:val="decimal"/>
      <w:lvlText w:val="%1.%2.%3.%4.%5.%6."/>
      <w:lvlJc w:val="left"/>
      <w:pPr>
        <w:ind w:left="709" w:hanging="709"/>
      </w:pPr>
      <w:rPr/>
    </w:lvl>
    <w:lvl w:ilvl="6">
      <w:start w:val="1"/>
      <w:numFmt w:val="decimal"/>
      <w:lvlText w:val="%1.%2.%3.%4.%5.%6.%7."/>
      <w:lvlJc w:val="left"/>
      <w:pPr>
        <w:ind w:left="709" w:hanging="709"/>
      </w:pPr>
      <w:rPr/>
    </w:lvl>
    <w:lvl w:ilvl="7">
      <w:start w:val="1"/>
      <w:numFmt w:val="decimal"/>
      <w:lvlText w:val="%1.%2.%3.%4.%5.%6.%7.%8."/>
      <w:lvlJc w:val="left"/>
      <w:pPr>
        <w:ind w:left="709" w:hanging="709"/>
      </w:pPr>
      <w:rPr/>
    </w:lvl>
    <w:lvl w:ilvl="8">
      <w:start w:val="1"/>
      <w:numFmt w:val="decimal"/>
      <w:lvlText w:val="%1.%2.%3.%4.%5.%6.%7.%8.%9."/>
      <w:lvlJc w:val="left"/>
      <w:pPr>
        <w:ind w:left="709" w:hanging="7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 w:type="paragraph" w:styleId="Heading7">
    <w:name w:val="heading 7"/>
    <w:basedOn w:val="Normal"/>
    <w:next w:val="BodyText"/>
    <w:uiPriority w:val="9"/>
    <w:unhideWhenUsed w:val="1"/>
    <w:qFormat w:val="1"/>
    <w:rsid w:val="00C91FCB"/>
    <w:pPr>
      <w:keepNext w:val="1"/>
      <w:keepLines w:val="1"/>
      <w:spacing w:after="0" w:before="200"/>
      <w:outlineLvl w:val="6"/>
    </w:pPr>
    <w:rPr>
      <w:rFonts w:asciiTheme="majorHAnsi" w:cstheme="majorBidi" w:eastAsiaTheme="majorEastAsia" w:hAnsiTheme="majorHAnsi"/>
      <w:color w:val="4f81bd" w:themeColor="accent1"/>
    </w:rPr>
  </w:style>
  <w:style w:type="paragraph" w:styleId="Heading8">
    <w:name w:val="heading 8"/>
    <w:basedOn w:val="Normal"/>
    <w:next w:val="BodyText"/>
    <w:uiPriority w:val="9"/>
    <w:unhideWhenUsed w:val="1"/>
    <w:qFormat w:val="1"/>
    <w:rsid w:val="00C91FCB"/>
    <w:pPr>
      <w:keepNext w:val="1"/>
      <w:keepLines w:val="1"/>
      <w:spacing w:after="0" w:before="200"/>
      <w:outlineLvl w:val="7"/>
    </w:pPr>
    <w:rPr>
      <w:rFonts w:asciiTheme="majorHAnsi" w:cstheme="majorBidi" w:eastAsiaTheme="majorEastAsia" w:hAnsiTheme="majorHAnsi"/>
      <w:color w:val="4f81bd" w:themeColor="accent1"/>
    </w:rPr>
  </w:style>
  <w:style w:type="paragraph" w:styleId="Heading9">
    <w:name w:val="heading 9"/>
    <w:basedOn w:val="Normal"/>
    <w:next w:val="BodyText"/>
    <w:uiPriority w:val="9"/>
    <w:unhideWhenUsed w:val="1"/>
    <w:qFormat w:val="1"/>
    <w:rsid w:val="00C91FCB"/>
    <w:pPr>
      <w:keepNext w:val="1"/>
      <w:keepLines w:val="1"/>
      <w:spacing w:after="0" w:before="200"/>
      <w:outlineLvl w:val="8"/>
    </w:pPr>
    <w:rPr>
      <w:rFonts w:asciiTheme="majorHAnsi" w:cstheme="majorBidi" w:eastAsiaTheme="majorEastAsia" w:hAnsiTheme="majorHAnsi"/>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color w:val="345a8a"/>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paragraph" w:styleId="BlockText">
    <w:name w:val="Block Text"/>
    <w:basedOn w:val="BodyText"/>
    <w:next w:val="BodyText"/>
    <w:uiPriority w:val="9"/>
    <w:unhideWhenUsed w:val="1"/>
    <w:qFormat w:val="1"/>
    <w:rsid w:val="00C91FCB"/>
    <w:pPr>
      <w:spacing w:after="100" w:before="100"/>
      <w:ind w:left="480" w:right="480"/>
    </w:pPr>
  </w:style>
  <w:style w:type="paragraph" w:styleId="FootnoteText">
    <w:name w:val="footnote text"/>
    <w:basedOn w:val="Normal"/>
    <w:uiPriority w:val="9"/>
    <w:unhideWhenUsed w:val="1"/>
    <w:qFormat w:val="1"/>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rsid w:val="00C91FCB"/>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rPr>
      <w:i w:val="1"/>
    </w:rPr>
  </w:style>
  <w:style w:type="character" w:styleId="VerbatimChar" w:customStyle="1">
    <w:name w:val="Verbatim Char"/>
    <w:basedOn w:val="CaptionChar"/>
    <w:link w:val="SourceCode"/>
    <w:rPr>
      <w:rFonts w:ascii="Consolas" w:hAnsi="Consolas"/>
      <w:i w:val="1"/>
      <w:sz w:val="22"/>
    </w:rPr>
  </w:style>
  <w:style w:type="character" w:styleId="SectionNumber" w:customStyle="1">
    <w:name w:val="Section Number"/>
    <w:basedOn w:val="CaptionChar"/>
    <w:rsid w:val="00C91FCB"/>
    <w:rPr>
      <w:i w:val="0"/>
    </w:rPr>
  </w:style>
  <w:style w:type="character" w:styleId="FootnoteReference">
    <w:name w:val="footnote reference"/>
    <w:basedOn w:val="CaptionChar"/>
    <w:rsid w:val="00C91FCB"/>
    <w:rPr>
      <w:i w:val="0"/>
      <w:vertAlign w:val="superscript"/>
    </w:rPr>
  </w:style>
  <w:style w:type="character" w:styleId="Hyperlink">
    <w:name w:val="Hyperlink"/>
    <w:basedOn w:val="CaptionChar"/>
    <w:rsid w:val="00C91FCB"/>
    <w:rPr>
      <w:i w:val="0"/>
      <w:color w:val="4f81bd" w:themeColor="accent1"/>
    </w:rPr>
  </w:style>
  <w:style w:type="paragraph" w:styleId="TOCHeading">
    <w:name w:val="TOC Heading"/>
    <w:basedOn w:val="Heading1"/>
    <w:next w:val="BodyText"/>
    <w:uiPriority w:val="39"/>
    <w:unhideWhenUsed w:val="1"/>
    <w:qFormat w:val="1"/>
    <w:rsid w:val="00C91FCB"/>
    <w:pPr>
      <w:spacing w:before="240" w:line="259" w:lineRule="auto"/>
      <w:outlineLvl w:val="9"/>
    </w:pPr>
    <w:rPr>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sid w:val="00C91FCB"/>
    <w:rPr>
      <w:rFonts w:ascii="Consolas" w:hAnsi="Consolas"/>
      <w:b w:val="1"/>
      <w:i w:val="0"/>
      <w:color w:val="007020"/>
      <w:sz w:val="22"/>
    </w:rPr>
  </w:style>
  <w:style w:type="character" w:styleId="DataTypeTok" w:customStyle="1">
    <w:name w:val="DataTypeTok"/>
    <w:basedOn w:val="VerbatimChar"/>
    <w:rsid w:val="00C91FCB"/>
    <w:rPr>
      <w:rFonts w:ascii="Consolas" w:hAnsi="Consolas"/>
      <w:i w:val="0"/>
      <w:color w:val="902000"/>
      <w:sz w:val="22"/>
    </w:rPr>
  </w:style>
  <w:style w:type="character" w:styleId="DecValTok" w:customStyle="1">
    <w:name w:val="DecValTok"/>
    <w:basedOn w:val="VerbatimChar"/>
    <w:rsid w:val="00C91FCB"/>
    <w:rPr>
      <w:rFonts w:ascii="Consolas" w:hAnsi="Consolas"/>
      <w:i w:val="0"/>
      <w:color w:val="40a070"/>
      <w:sz w:val="22"/>
    </w:rPr>
  </w:style>
  <w:style w:type="character" w:styleId="BaseNTok" w:customStyle="1">
    <w:name w:val="BaseNTok"/>
    <w:basedOn w:val="VerbatimChar"/>
    <w:rsid w:val="00C91FCB"/>
    <w:rPr>
      <w:rFonts w:ascii="Consolas" w:hAnsi="Consolas"/>
      <w:i w:val="0"/>
      <w:color w:val="40a070"/>
      <w:sz w:val="22"/>
    </w:rPr>
  </w:style>
  <w:style w:type="character" w:styleId="FloatTok" w:customStyle="1">
    <w:name w:val="FloatTok"/>
    <w:basedOn w:val="VerbatimChar"/>
    <w:rsid w:val="00C91FCB"/>
    <w:rPr>
      <w:rFonts w:ascii="Consolas" w:hAnsi="Consolas"/>
      <w:i w:val="0"/>
      <w:color w:val="40a070"/>
      <w:sz w:val="22"/>
    </w:rPr>
  </w:style>
  <w:style w:type="character" w:styleId="ConstantTok" w:customStyle="1">
    <w:name w:val="ConstantTok"/>
    <w:basedOn w:val="VerbatimChar"/>
    <w:rsid w:val="00C91FCB"/>
    <w:rPr>
      <w:rFonts w:ascii="Consolas" w:hAnsi="Consolas"/>
      <w:i w:val="0"/>
      <w:color w:val="880000"/>
      <w:sz w:val="22"/>
    </w:rPr>
  </w:style>
  <w:style w:type="character" w:styleId="CharTok" w:customStyle="1">
    <w:name w:val="CharTok"/>
    <w:basedOn w:val="VerbatimChar"/>
    <w:rsid w:val="00C91FCB"/>
    <w:rPr>
      <w:rFonts w:ascii="Consolas" w:hAnsi="Consolas"/>
      <w:i w:val="0"/>
      <w:color w:val="4070a0"/>
      <w:sz w:val="22"/>
    </w:rPr>
  </w:style>
  <w:style w:type="character" w:styleId="SpecialCharTok" w:customStyle="1">
    <w:name w:val="SpecialCharTok"/>
    <w:basedOn w:val="VerbatimChar"/>
    <w:rsid w:val="00C91FCB"/>
    <w:rPr>
      <w:rFonts w:ascii="Consolas" w:hAnsi="Consolas"/>
      <w:i w:val="0"/>
      <w:color w:val="4070a0"/>
      <w:sz w:val="22"/>
    </w:rPr>
  </w:style>
  <w:style w:type="character" w:styleId="StringTok" w:customStyle="1">
    <w:name w:val="StringTok"/>
    <w:basedOn w:val="VerbatimChar"/>
    <w:rsid w:val="00C91FCB"/>
    <w:rPr>
      <w:rFonts w:ascii="Consolas" w:hAnsi="Consolas"/>
      <w:i w:val="0"/>
      <w:color w:val="4070a0"/>
      <w:sz w:val="22"/>
    </w:rPr>
  </w:style>
  <w:style w:type="character" w:styleId="VerbatimStringTok" w:customStyle="1">
    <w:name w:val="VerbatimStringTok"/>
    <w:basedOn w:val="VerbatimChar"/>
    <w:rsid w:val="00C91FCB"/>
    <w:rPr>
      <w:rFonts w:ascii="Consolas" w:hAnsi="Consolas"/>
      <w:i w:val="0"/>
      <w:color w:val="4070a0"/>
      <w:sz w:val="22"/>
    </w:rPr>
  </w:style>
  <w:style w:type="character" w:styleId="SpecialStringTok" w:customStyle="1">
    <w:name w:val="SpecialStringTok"/>
    <w:basedOn w:val="VerbatimChar"/>
    <w:rsid w:val="00C91FCB"/>
    <w:rPr>
      <w:rFonts w:ascii="Consolas" w:hAnsi="Consolas"/>
      <w:i w:val="0"/>
      <w:color w:val="bb6688"/>
      <w:sz w:val="22"/>
    </w:rPr>
  </w:style>
  <w:style w:type="character" w:styleId="ImportTok" w:customStyle="1">
    <w:name w:val="ImportTok"/>
    <w:basedOn w:val="VerbatimChar"/>
    <w:rsid w:val="00C91FCB"/>
    <w:rPr>
      <w:rFonts w:ascii="Consolas" w:hAnsi="Consolas"/>
      <w:b w:val="1"/>
      <w:i w:val="0"/>
      <w:color w:val="008000"/>
      <w:sz w:val="22"/>
    </w:rPr>
  </w:style>
  <w:style w:type="character" w:styleId="CommentTok" w:customStyle="1">
    <w:name w:val="CommentTok"/>
    <w:basedOn w:val="VerbatimChar"/>
    <w:rsid w:val="00C91FCB"/>
    <w:rPr>
      <w:rFonts w:ascii="Consolas" w:hAnsi="Consolas"/>
      <w:i w:val="1"/>
      <w:color w:val="60a0b0"/>
      <w:sz w:val="22"/>
    </w:rPr>
  </w:style>
  <w:style w:type="character" w:styleId="DocumentationTok" w:customStyle="1">
    <w:name w:val="DocumentationTok"/>
    <w:basedOn w:val="VerbatimChar"/>
    <w:rsid w:val="00C91FCB"/>
    <w:rPr>
      <w:rFonts w:ascii="Consolas" w:hAnsi="Consolas"/>
      <w:i w:val="1"/>
      <w:color w:val="ba2121"/>
      <w:sz w:val="22"/>
    </w:rPr>
  </w:style>
  <w:style w:type="character" w:styleId="AnnotationTok" w:customStyle="1">
    <w:name w:val="AnnotationTok"/>
    <w:basedOn w:val="VerbatimChar"/>
    <w:rsid w:val="00C91FCB"/>
    <w:rPr>
      <w:rFonts w:ascii="Consolas" w:hAnsi="Consolas"/>
      <w:b w:val="1"/>
      <w:i w:val="1"/>
      <w:color w:val="60a0b0"/>
      <w:sz w:val="22"/>
    </w:rPr>
  </w:style>
  <w:style w:type="character" w:styleId="CommentVarTok" w:customStyle="1">
    <w:name w:val="CommentVarTok"/>
    <w:basedOn w:val="VerbatimChar"/>
    <w:rsid w:val="00C91FCB"/>
    <w:rPr>
      <w:rFonts w:ascii="Consolas" w:hAnsi="Consolas"/>
      <w:b w:val="1"/>
      <w:i w:val="1"/>
      <w:color w:val="60a0b0"/>
      <w:sz w:val="22"/>
    </w:rPr>
  </w:style>
  <w:style w:type="character" w:styleId="OtherTok" w:customStyle="1">
    <w:name w:val="OtherTok"/>
    <w:basedOn w:val="VerbatimChar"/>
    <w:rsid w:val="00C91FCB"/>
    <w:rPr>
      <w:rFonts w:ascii="Consolas" w:hAnsi="Consolas"/>
      <w:i w:val="0"/>
      <w:color w:val="007020"/>
      <w:sz w:val="22"/>
    </w:rPr>
  </w:style>
  <w:style w:type="character" w:styleId="FunctionTok" w:customStyle="1">
    <w:name w:val="FunctionTok"/>
    <w:basedOn w:val="VerbatimChar"/>
    <w:rsid w:val="00C91FCB"/>
    <w:rPr>
      <w:rFonts w:ascii="Consolas" w:hAnsi="Consolas"/>
      <w:i w:val="0"/>
      <w:color w:val="06287e"/>
      <w:sz w:val="22"/>
    </w:rPr>
  </w:style>
  <w:style w:type="character" w:styleId="VariableTok" w:customStyle="1">
    <w:name w:val="VariableTok"/>
    <w:basedOn w:val="VerbatimChar"/>
    <w:rsid w:val="00C91FCB"/>
    <w:rPr>
      <w:rFonts w:ascii="Consolas" w:hAnsi="Consolas"/>
      <w:i w:val="0"/>
      <w:color w:val="19177c"/>
      <w:sz w:val="22"/>
    </w:rPr>
  </w:style>
  <w:style w:type="character" w:styleId="ControlFlowTok" w:customStyle="1">
    <w:name w:val="ControlFlowTok"/>
    <w:basedOn w:val="VerbatimChar"/>
    <w:rsid w:val="00C91FCB"/>
    <w:rPr>
      <w:rFonts w:ascii="Consolas" w:hAnsi="Consolas"/>
      <w:b w:val="1"/>
      <w:i w:val="0"/>
      <w:color w:val="007020"/>
      <w:sz w:val="22"/>
    </w:rPr>
  </w:style>
  <w:style w:type="character" w:styleId="OperatorTok" w:customStyle="1">
    <w:name w:val="OperatorTok"/>
    <w:basedOn w:val="VerbatimChar"/>
    <w:rsid w:val="00C91FCB"/>
    <w:rPr>
      <w:rFonts w:ascii="Consolas" w:hAnsi="Consolas"/>
      <w:i w:val="0"/>
      <w:color w:val="666666"/>
      <w:sz w:val="22"/>
    </w:rPr>
  </w:style>
  <w:style w:type="character" w:styleId="BuiltInTok" w:customStyle="1">
    <w:name w:val="BuiltInTok"/>
    <w:basedOn w:val="VerbatimChar"/>
    <w:rsid w:val="00C91FCB"/>
    <w:rPr>
      <w:rFonts w:ascii="Consolas" w:hAnsi="Consolas"/>
      <w:i w:val="0"/>
      <w:color w:val="008000"/>
      <w:sz w:val="22"/>
    </w:rPr>
  </w:style>
  <w:style w:type="character" w:styleId="ExtensionTok" w:customStyle="1">
    <w:name w:val="ExtensionTok"/>
    <w:basedOn w:val="VerbatimChar"/>
    <w:rsid w:val="00C91FCB"/>
    <w:rPr>
      <w:rFonts w:ascii="Consolas" w:hAnsi="Consolas"/>
      <w:i w:val="0"/>
      <w:sz w:val="22"/>
    </w:rPr>
  </w:style>
  <w:style w:type="character" w:styleId="PreprocessorTok" w:customStyle="1">
    <w:name w:val="PreprocessorTok"/>
    <w:basedOn w:val="VerbatimChar"/>
    <w:rsid w:val="00C91FCB"/>
    <w:rPr>
      <w:rFonts w:ascii="Consolas" w:hAnsi="Consolas"/>
      <w:i w:val="0"/>
      <w:color w:val="bc7a00"/>
      <w:sz w:val="22"/>
    </w:rPr>
  </w:style>
  <w:style w:type="character" w:styleId="AttributeTok" w:customStyle="1">
    <w:name w:val="AttributeTok"/>
    <w:basedOn w:val="VerbatimChar"/>
    <w:rsid w:val="00C91FCB"/>
    <w:rPr>
      <w:rFonts w:ascii="Consolas" w:hAnsi="Consolas"/>
      <w:i w:val="0"/>
      <w:color w:val="7d9029"/>
      <w:sz w:val="22"/>
    </w:rPr>
  </w:style>
  <w:style w:type="character" w:styleId="RegionMarkerTok" w:customStyle="1">
    <w:name w:val="RegionMarkerTok"/>
    <w:basedOn w:val="VerbatimChar"/>
    <w:rsid w:val="00C91FCB"/>
    <w:rPr>
      <w:rFonts w:ascii="Consolas" w:hAnsi="Consolas"/>
      <w:i w:val="0"/>
      <w:sz w:val="22"/>
    </w:rPr>
  </w:style>
  <w:style w:type="character" w:styleId="InformationTok" w:customStyle="1">
    <w:name w:val="InformationTok"/>
    <w:basedOn w:val="VerbatimChar"/>
    <w:rsid w:val="00C91FCB"/>
    <w:rPr>
      <w:rFonts w:ascii="Consolas" w:hAnsi="Consolas"/>
      <w:b w:val="1"/>
      <w:i w:val="1"/>
      <w:color w:val="60a0b0"/>
      <w:sz w:val="22"/>
    </w:rPr>
  </w:style>
  <w:style w:type="character" w:styleId="WarningTok" w:customStyle="1">
    <w:name w:val="WarningTok"/>
    <w:basedOn w:val="VerbatimChar"/>
    <w:rsid w:val="00C91FCB"/>
    <w:rPr>
      <w:rFonts w:ascii="Consolas" w:hAnsi="Consolas"/>
      <w:b w:val="1"/>
      <w:i w:val="1"/>
      <w:color w:val="60a0b0"/>
      <w:sz w:val="22"/>
    </w:rPr>
  </w:style>
  <w:style w:type="character" w:styleId="AlertTok" w:customStyle="1">
    <w:name w:val="AlertTok"/>
    <w:basedOn w:val="VerbatimChar"/>
    <w:rsid w:val="00C91FCB"/>
    <w:rPr>
      <w:rFonts w:ascii="Consolas" w:hAnsi="Consolas"/>
      <w:b w:val="1"/>
      <w:i w:val="0"/>
      <w:color w:val="ff0000"/>
      <w:sz w:val="22"/>
    </w:rPr>
  </w:style>
  <w:style w:type="character" w:styleId="ErrorTok" w:customStyle="1">
    <w:name w:val="ErrorTok"/>
    <w:basedOn w:val="VerbatimChar"/>
    <w:rsid w:val="00C91FCB"/>
    <w:rPr>
      <w:rFonts w:ascii="Consolas" w:hAnsi="Consolas"/>
      <w:b w:val="1"/>
      <w:i w:val="0"/>
      <w:color w:val="ff0000"/>
      <w:sz w:val="22"/>
    </w:rPr>
  </w:style>
  <w:style w:type="character" w:styleId="NormalTok" w:customStyle="1">
    <w:name w:val="NormalTok"/>
    <w:basedOn w:val="VerbatimChar"/>
    <w:rsid w:val="00C91FCB"/>
    <w:rPr>
      <w:rFonts w:ascii="Consolas" w:hAnsi="Consolas"/>
      <w:i w:val="0"/>
      <w:sz w:val="22"/>
    </w:rPr>
  </w:style>
  <w:style w:type="paragraph" w:styleId="Revision">
    <w:name w:val="Revision"/>
    <w:hidden w:val="1"/>
    <w:rsid w:val="005E48FD"/>
    <w:pPr>
      <w:spacing w:after="0"/>
    </w:pPr>
  </w:style>
  <w:style w:type="character" w:styleId="CommentReference">
    <w:name w:val="annotation reference"/>
    <w:basedOn w:val="DefaultParagraphFont"/>
    <w:rsid w:val="00833D39"/>
    <w:rPr>
      <w:sz w:val="16"/>
      <w:szCs w:val="16"/>
    </w:rPr>
  </w:style>
  <w:style w:type="paragraph" w:styleId="CommentText">
    <w:name w:val="annotation text"/>
    <w:basedOn w:val="Normal"/>
    <w:link w:val="CommentTextChar"/>
    <w:rsid w:val="00833D39"/>
    <w:rPr>
      <w:sz w:val="20"/>
      <w:szCs w:val="20"/>
    </w:rPr>
  </w:style>
  <w:style w:type="character" w:styleId="CommentTextChar" w:customStyle="1">
    <w:name w:val="Comment Text Char"/>
    <w:basedOn w:val="DefaultParagraphFont"/>
    <w:link w:val="CommentText"/>
    <w:rsid w:val="00833D39"/>
    <w:rPr>
      <w:sz w:val="20"/>
      <w:szCs w:val="20"/>
    </w:rPr>
  </w:style>
  <w:style w:type="paragraph" w:styleId="CommentSubject">
    <w:name w:val="annotation subject"/>
    <w:basedOn w:val="CommentText"/>
    <w:next w:val="CommentText"/>
    <w:link w:val="CommentSubjectChar"/>
    <w:rsid w:val="00833D39"/>
    <w:rPr>
      <w:b w:val="1"/>
      <w:bCs w:val="1"/>
    </w:rPr>
  </w:style>
  <w:style w:type="character" w:styleId="CommentSubjectChar" w:customStyle="1">
    <w:name w:val="Comment Subject Char"/>
    <w:basedOn w:val="CommentTextChar"/>
    <w:link w:val="CommentSubject"/>
    <w:rsid w:val="00833D39"/>
    <w:rPr>
      <w:b w:val="1"/>
      <w:bCs w:val="1"/>
      <w:sz w:val="20"/>
      <w:szCs w:val="20"/>
    </w:rPr>
  </w:style>
  <w:style w:type="paragraph" w:styleId="Header">
    <w:name w:val="header"/>
    <w:basedOn w:val="Normal"/>
    <w:link w:val="HeaderChar"/>
    <w:rsid w:val="00D63498"/>
    <w:pPr>
      <w:tabs>
        <w:tab w:val="center" w:pos="4513"/>
        <w:tab w:val="right" w:pos="9026"/>
      </w:tabs>
      <w:spacing w:after="0"/>
    </w:pPr>
  </w:style>
  <w:style w:type="character" w:styleId="HeaderChar" w:customStyle="1">
    <w:name w:val="Header Char"/>
    <w:basedOn w:val="DefaultParagraphFont"/>
    <w:link w:val="Header"/>
    <w:rsid w:val="00D63498"/>
  </w:style>
  <w:style w:type="paragraph" w:styleId="Footer">
    <w:name w:val="footer"/>
    <w:basedOn w:val="Normal"/>
    <w:link w:val="FooterChar"/>
    <w:uiPriority w:val="99"/>
    <w:rsid w:val="00D63498"/>
    <w:pPr>
      <w:tabs>
        <w:tab w:val="center" w:pos="4513"/>
        <w:tab w:val="right" w:pos="9026"/>
      </w:tabs>
      <w:spacing w:after="0"/>
    </w:pPr>
  </w:style>
  <w:style w:type="character" w:styleId="FooterChar" w:customStyle="1">
    <w:name w:val="Footer Char"/>
    <w:basedOn w:val="DefaultParagraphFont"/>
    <w:link w:val="Footer"/>
    <w:uiPriority w:val="99"/>
    <w:rsid w:val="00D63498"/>
  </w:style>
  <w:style w:type="character" w:styleId="BodyTextChar" w:customStyle="1">
    <w:name w:val="Body Text Char"/>
    <w:basedOn w:val="DefaultParagraphFont"/>
    <w:link w:val="BodyText"/>
    <w:rsid w:val="00C4623D"/>
  </w:style>
  <w:style w:type="paragraph" w:styleId="ListParagraph">
    <w:name w:val="List Paragraph"/>
    <w:basedOn w:val="Normal"/>
    <w:rsid w:val="00156CBA"/>
    <w:pPr>
      <w:ind w:left="720"/>
      <w:contextualSpacing w:val="1"/>
    </w:p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4">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rustloom.io"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drK1I7HcJKywYwDvXD4vsJFEQ==">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2026-10-05T07:56:00Z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0x010100716D3BEBC6CD424D8A27CC667387A3E7</vt:lpwstr>
  </property>
  <property fmtid="{D5CDD505-2E9C-101B-9397-08002B2CF9AE}" pid="4" name="subtitle">
    <vt:lpwstr>Draft 3 — for internal review</vt:lpwstr>
  </property>
</Properties>
</file>